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before="393.6" w:lineRule="auto"/>
        <w:ind w:left="-240" w:right="-379.1999999999984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1995488" cy="81848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5488" cy="818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ind w:left="-240" w:right="-379.19999999999845" w:firstLine="0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Звернення Національної молодіжної ради України </w:t>
      </w:r>
    </w:p>
    <w:p w:rsidR="00000000" w:rsidDel="00000000" w:rsidP="00000000" w:rsidRDefault="00000000" w:rsidRPr="00000000" w14:paraId="00000003">
      <w:pPr>
        <w:widowControl w:val="0"/>
        <w:spacing w:before="0" w:line="240" w:lineRule="auto"/>
        <w:ind w:left="-240" w:right="-379.19999999999845" w:firstLine="0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до новопризначеної заступниці Міністра молоді та спорту </w:t>
      </w:r>
    </w:p>
    <w:p w:rsidR="00000000" w:rsidDel="00000000" w:rsidP="00000000" w:rsidRDefault="00000000" w:rsidRPr="00000000" w14:paraId="00000004">
      <w:pPr>
        <w:widowControl w:val="0"/>
        <w:spacing w:before="0" w:line="240" w:lineRule="auto"/>
        <w:ind w:left="-240" w:right="-379.19999999999845" w:firstLine="0"/>
        <w:jc w:val="right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0" w:line="240" w:lineRule="auto"/>
        <w:ind w:left="-240" w:right="-379.19999999999845" w:firstLine="0"/>
        <w:jc w:val="right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Заступниці Міністра молоді та спорту Україна</w:t>
      </w:r>
    </w:p>
    <w:p w:rsidR="00000000" w:rsidDel="00000000" w:rsidP="00000000" w:rsidRDefault="00000000" w:rsidRPr="00000000" w14:paraId="00000006">
      <w:pPr>
        <w:widowControl w:val="0"/>
        <w:spacing w:before="0" w:line="240" w:lineRule="auto"/>
        <w:ind w:left="-240" w:right="-379.19999999999845" w:firstLine="0"/>
        <w:jc w:val="right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Попатенко М.М.</w:t>
      </w:r>
    </w:p>
    <w:p w:rsidR="00000000" w:rsidDel="00000000" w:rsidP="00000000" w:rsidRDefault="00000000" w:rsidRPr="00000000" w14:paraId="00000007">
      <w:pPr>
        <w:widowControl w:val="0"/>
        <w:spacing w:before="393.6" w:line="240" w:lineRule="auto"/>
        <w:ind w:left="-283.46456692913375" w:right="-466.062992125984" w:firstLine="283.46456692913375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Національна молодіжна рада України вітає призначення нової заступниці Міністра молоді та спорту України Марину Попатенко та звертається через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надзвичайну стурбованість, викликану пропозицією Кабінету Міністрів України щодо безпрецедентного скорочення сфери молодіжної політики запланованого на 2020 рік, а також турбулентністю, яку переживає сектор молодіжних громадських організацій, викликаною пандемією COVID-19. </w:t>
      </w:r>
    </w:p>
    <w:p w:rsidR="00000000" w:rsidDel="00000000" w:rsidP="00000000" w:rsidRDefault="00000000" w:rsidRPr="00000000" w14:paraId="00000008">
      <w:pPr>
        <w:ind w:left="-283.46456692913375" w:right="-466.062992125984" w:firstLine="283.46456692913375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white"/>
          <w:rtl w:val="0"/>
        </w:rPr>
        <w:t xml:space="preserve">Ми усвідомлюємо всю складність ситуації, що спричинена пандемією коронавірусу COVID-19 та поділяємо думку Кабінету Міністрів України щодо потреби перегляду видатків бюджету для подолання наслідків коронавірусу. Водночас, як найбільш проєвропейське покоління за історію України, молодь в черговий раз стикається з тим, що не є пріоритетом для політиків, яких же самі й обрали. Можливо, навіть для тих, хто лише десятиліттями раніше були на витоках молодіжної роботи, волонтерства  та очолювали громадські молодіжні організації. Задля убезпечення від поширення захворювання коронавірусу, від 1 квітня 2020 Кабмін опублікував список нових заборон, в тому числі обмежив перебування в громадських місцях осіб, які не досягли 16 років, без супроводу повнолітніх. Дана заборона є нівелюванням права молодих людей на мобільність та пересування.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 умовах децентралізації, періоду карантину питання інформування та залучення сільської молоді стоїть особливо гостро. Подекуди в селах немає не те що інфраструктури для змістовного дозвілля, а й навіть рейсових автобусів. В період карантину дане питання стає ще більш чутливим. У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віддалених від центру регіонах користуватись інтернетом часто не дозволяє відсутність відповідної інфраструктури.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Наразі українські медіа не орієнтовані на молодь, відсутня єдина державна стратегія молодіжної інформації, відсутний молодіжний мовник, зокрема на місцевому і регіональному рівнях. Крім того, серед молоді в Україні не розвинена медіа освіта та культура поведінки в соціальних мережах, а молоді люди не мають навичок, що дозволяють відрізнити правдиву інформацію від неправдивої.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До того ж, не всі керівники ОТГ розуміють важливість молодіжної політики. В зв’язку з цим, ми закликаємо Міністерство молоді та спорту ініціювати відкриту дискусію щодо підтримки молодіжного громадського сектору в ці непрості часи із залученням всіх стейкхолдерів молодіжної сфери задля напрацювання спільного бачення майбутнього молодіжної сфери. Враховуючи критичний стан молодіжної політики в Україні, серед  першочергових завдань для розгляду пропонуємо: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before="230.39999999999998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Створити гнучкий механізм підтримки громадських молодіжних організацій в період пандемії COVID-19.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Створити національний план дій з досягнення </w:t>
      </w:r>
      <w:hyperlink r:id="rId7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Цілей сталого розвитку 2030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в Україні, включити його в Стратегію молодіжної політики 2030.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Затвердити національну державну стратегію молодіжної політики 2030 року з урахуванням  </w:t>
      </w:r>
      <w:hyperlink r:id="rId8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Рекомендацій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Національної молодіжної ради України, </w:t>
      </w:r>
      <w:hyperlink r:id="rId9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Стратегії молодіжного сектору Ради Європи 2030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Використовуючи кращі інструменти змістовної участі молоді закладені у програмі EU Youth Dialogue через EU Youth Goals локалізуючі їх для українського молодіжного середовища застосувати в реалізації стратегії молодіжної політики 2030, та створити UA Youth Dialogue як інструмент пошуку консенсусу для формування політик і представлення інтересів молодих людей.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Відмінити постанову попереднього Кабінету міністрів України №1198</w:t>
      </w:r>
      <w:hyperlink r:id="rId10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 “Про затвердження типових положень про молодіжні консультативно-дорадчі органи”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та ініціювати створення системи співуправління між молоддю та державою на рівні партнерства за прикладом </w:t>
      </w:r>
      <w:hyperlink r:id="rId11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Ради Європи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та сприяти розвитку спроможності молодіжних громадських організацій на локальному, регіональному та національному рівнях.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Переглянути та оновити існуюче законодавство в сфері молодіжної політики, що передбачатиме кроссекторальний підхід та щорічний звіт Уряду до Верховної Ради та Президента України про стан молоді в Україні та винести на голосування парламенту.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Відповідно до </w:t>
      </w:r>
      <w:hyperlink r:id="rId12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Стратегією розвитку державної молодіжної політики на період до 2020 року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привести у відповідність діюче законодавство та внести зміни у закони </w:t>
      </w:r>
      <w:hyperlink r:id="rId13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"Про сприяння соціальному становленню та розвитку молоді в Україні"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</w:t>
      </w:r>
      <w:hyperlink r:id="rId14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"Про соціальну роботу з сім'ями, дітьми та молоддю"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</w:t>
      </w:r>
      <w:hyperlink r:id="rId15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"Про молодіжні та дитячі громадські організації"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З метою моніторингу ефективності фінансування молодіжної сфери провести в Україні аналіз ефекту інвестицій в молодь через громадські організації за прикладом </w:t>
      </w:r>
      <w:hyperlink r:id="rId16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дослідження </w:t>
        </w:r>
      </w:hyperlink>
      <w:hyperlink r:id="rId17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Європейського молодіжного форуму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парасолькової організації НМРУ та </w:t>
      </w:r>
      <w:hyperlink r:id="rId18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Національної молодіжної ради України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Створити національну систему фінансування громадських молодіжних організацій, що в свою чергу має функціонувати поза Державною казначейською службою, в тому числі переглянути механізми моніторингу ефективності використання державних коштів та охоплення молоді програмами та проектами.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В умовах курсу України на євроінтеграцію, створити в Україні Національну агенцію </w:t>
      </w:r>
      <w:hyperlink r:id="rId19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Еразмус+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 яка відкриє українській молоді нові можливість для міжкультурного діалогу, посилення контактів між людьми та співпраці між Україною та ЄС у молодіжній сфері. Пропонуємо розглянути та впровадити досвід:</w:t>
      </w:r>
    </w:p>
    <w:p w:rsidR="00000000" w:rsidDel="00000000" w:rsidP="00000000" w:rsidRDefault="00000000" w:rsidRPr="00000000" w14:paraId="00000013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hyperlink r:id="rId20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Німеччини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через </w:t>
      </w:r>
      <w:hyperlink r:id="rId21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структуру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підтримки молодіжних громадських організацій; розробити систему підтримки масового спорту через молодіжні організації спортивних федерацій та змінити підхід аналізу пріоритетності фінансування спортивних дисциплін за кількістю здобутих медалей;(</w:t>
      </w:r>
      <w:hyperlink r:id="rId22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приклад системи Німеччини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4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hyperlink r:id="rId23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Данії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/</w:t>
      </w:r>
      <w:hyperlink r:id="rId24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Норвегії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використовуючи ресурси державної монополії на азартні ігри, який витрачається на діяльність дитячих та молодіжних організацій через Національні молодіжні Ради;</w:t>
      </w:r>
    </w:p>
    <w:p w:rsidR="00000000" w:rsidDel="00000000" w:rsidP="00000000" w:rsidRDefault="00000000" w:rsidRPr="00000000" w14:paraId="00000015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Литви, об’єднавши національну систему підтримки організацій із офісом Еразмус+.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Ініціювати зміни до Законів України “Про фінансування партій” та “Про Громадські об'єднання” та рекомендувати політичним партіям у розбудові політичних молодіжних організацій для побудови партійного соціального ліфту та політичної освіти молоді через механізм неформальної освіті.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Запровадити систему Молодіжних гарантій за прикладом країн Європейського Союзу. Гарантування оплачуваного стажування для молодого фахівця, податкові пільги роботодавцям для працевлаштування молоді.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Забезпечити сприятливі умови для становлення молодих підприємців через спрощення процедур перевірки бізнесу, запровадження особливої системи кредитування для молодіжного/соціального підприємництва, створення онлайн механізмів реєстрації та ведення бізнесу та надання державної підтримки для бізнес інкубаторів.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Гарантувати рівний доступ молоді до прав через підтримку програм, що сприяють підвищенню терпимості та толерантності у суспільстві, незалежно від мови, релігії, гендеру і віросповідання;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Створити національний план дій з реалізації </w:t>
      </w:r>
      <w:hyperlink r:id="rId25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Резолюції ООН 2250/2419 “Молодь, Мир та Безпека”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що може стати гарним інструментом для досягнення миру та злагоди в Українському суспільстві на всіх територіях.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Переглянути кодекс ЖКГ, що є основою для розробки програм підтримки молоді житлом і лише після цього переглянути об'єм фінансування програм молодіжного житла.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Сприяти створенню системи неформальної освіти в України та демонополізації державного замовлення на освіту. Розробити інструмент для відходу від позашкільної освіти, як головного інструменту роботи з дітьми та молоддю поза межами формальної освіти.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Розробити систему підтримки молодіжних екологічних ініціатив та залучити їх до моніторингу імплементації </w:t>
      </w:r>
      <w:hyperlink r:id="rId26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Паризької угоди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із запобігання змінам клімату.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Створення мережі інклюзивних молодіжних центрів з надання послуг інформації про всі можливості для молоді за принципами </w:t>
      </w:r>
      <w:hyperlink r:id="rId27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Євродеск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та згідно Європейської Хартії Молодіжної Інформації</w:t>
      </w:r>
      <w:hyperlink r:id="rId28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 ERYICA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0" w:afterAutospacing="0"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Переглянути наказ національного конкурсу </w:t>
      </w:r>
      <w:hyperlink r:id="rId29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“Молодіжна столиця України”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розроблений за прикладом </w:t>
      </w:r>
      <w:hyperlink r:id="rId30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u w:val="single"/>
            <w:rtl w:val="0"/>
          </w:rPr>
          <w:t xml:space="preserve">Європейської Молодіжної Столиці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та забезпечити участь молоді в рамках конкурсу, ввести обов’язковий критерій оцінювання: проведення зустрічей за участі молоді та влади муніципалітетів для розробки спільного плану дій. Організувати навчання регіональних координаторів для підтримки участі молоді.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spacing w:before="0" w:beforeAutospacing="0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Забезпечити надання рівних прав та можливостей для дітей та молоді в умовах децентралізації, зокрема через інструмент підтримки “Громада, дружня до дітей та молоді”, вирішити питання підтримки муніципалітетів. Визначити підтримку молодіжних громадських організацій пріоритетом Державного фонду регіонального розвитку в процесі децентралізації та створити умови для обрання молоді в керівні органи муніципалітетів у процесі децентралізації.</w:t>
      </w:r>
    </w:p>
    <w:p w:rsidR="00000000" w:rsidDel="00000000" w:rsidP="00000000" w:rsidRDefault="00000000" w:rsidRPr="00000000" w14:paraId="00000021">
      <w:pPr>
        <w:widowControl w:val="0"/>
        <w:spacing w:before="230.39999999999998" w:line="240" w:lineRule="auto"/>
        <w:ind w:left="0" w:right="-451.1999999999989" w:firstLine="0"/>
        <w:jc w:val="both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200025</wp:posOffset>
            </wp:positionV>
            <wp:extent cx="2782104" cy="1395413"/>
            <wp:effectExtent b="0" l="0" r="0" t="0"/>
            <wp:wrapSquare wrapText="bothSides" distB="114300" distT="11430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31"/>
                    <a:srcRect b="13656" l="9696" r="0" t="20264"/>
                    <a:stretch>
                      <a:fillRect/>
                    </a:stretch>
                  </pic:blipFill>
                  <pic:spPr>
                    <a:xfrm>
                      <a:off x="0" y="0"/>
                      <a:ext cx="2782104" cy="1395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widowControl w:val="0"/>
        <w:spacing w:before="0" w:lineRule="auto"/>
        <w:ind w:left="0" w:right="4185.6" w:firstLine="0"/>
        <w:rPr>
          <w:rFonts w:ascii="Montserrat" w:cs="Montserrat" w:eastAsia="Montserrat" w:hAnsi="Montserrat"/>
          <w:b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З повагою, Голова ГС “Національна молодіжна рада України” </w:t>
      </w:r>
    </w:p>
    <w:p w:rsidR="00000000" w:rsidDel="00000000" w:rsidP="00000000" w:rsidRDefault="00000000" w:rsidRPr="00000000" w14:paraId="00000023">
      <w:pPr>
        <w:widowControl w:val="0"/>
        <w:spacing w:before="0" w:lineRule="auto"/>
        <w:ind w:left="0" w:right="4185.6" w:firstLine="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0"/>
          <w:szCs w:val="20"/>
          <w:rtl w:val="0"/>
        </w:rPr>
        <w:t xml:space="preserve">Кріцак Ю.Л.</w:t>
      </w:r>
      <w:r w:rsidDel="00000000" w:rsidR="00000000" w:rsidRPr="00000000">
        <w:rPr>
          <w:rtl w:val="0"/>
        </w:rPr>
      </w:r>
    </w:p>
    <w:sectPr>
      <w:pgSz w:h="16838" w:w="11906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dbjr.de/" TargetMode="External"/><Relationship Id="rId22" Type="http://schemas.openxmlformats.org/officeDocument/2006/relationships/hyperlink" Target="https://drive.google.com/file/d/1DcTriqb50zsj67YUJ-gWFb8r_FYAruSV/view" TargetMode="External"/><Relationship Id="rId21" Type="http://schemas.openxmlformats.org/officeDocument/2006/relationships/hyperlink" Target="https://drive.google.com/file/d/1ioPb8eyxnt44IUdN_SqcVZUGaP5nXSjw/view" TargetMode="External"/><Relationship Id="rId24" Type="http://schemas.openxmlformats.org/officeDocument/2006/relationships/hyperlink" Target="https://www.lnu.no/" TargetMode="External"/><Relationship Id="rId23" Type="http://schemas.openxmlformats.org/officeDocument/2006/relationships/hyperlink" Target="https://en.duf.dk/about-duf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oe.int/en/web/youth/youth-strategy-2030?fbclid=IwAR1DLUJZIACQPQPMGM0vDvbpaCOsGnszUkr5PxIwKeghfEklQaWQ6p4gBM4" TargetMode="External"/><Relationship Id="rId26" Type="http://schemas.openxmlformats.org/officeDocument/2006/relationships/hyperlink" Target="https://unfccc.int/files/meetings/paris_nov_2015/application/pdf/paris_agreement_english_.pdf" TargetMode="External"/><Relationship Id="rId25" Type="http://schemas.openxmlformats.org/officeDocument/2006/relationships/hyperlink" Target="https://www.un.org/press/en/2018/sc13368.doc.htm" TargetMode="External"/><Relationship Id="rId28" Type="http://schemas.openxmlformats.org/officeDocument/2006/relationships/hyperlink" Target="https://www.eryica.org/" TargetMode="External"/><Relationship Id="rId27" Type="http://schemas.openxmlformats.org/officeDocument/2006/relationships/hyperlink" Target="https://eurodesk.eu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29" Type="http://schemas.openxmlformats.org/officeDocument/2006/relationships/hyperlink" Target="https://www.facebook.com/youthcapitalofukraine/" TargetMode="External"/><Relationship Id="rId7" Type="http://schemas.openxmlformats.org/officeDocument/2006/relationships/hyperlink" Target="https://www.ua.undp.org/content/ukraine/uk/home/sustainable-development-goals.html" TargetMode="External"/><Relationship Id="rId8" Type="http://schemas.openxmlformats.org/officeDocument/2006/relationships/hyperlink" Target="https://docs.google.com/document/d/1Cd9alvFI7hdtD-zVrqIKh1v1QtpJaKEZTzOB0GM3Gmo/edit?usp=sharing" TargetMode="External"/><Relationship Id="rId31" Type="http://schemas.openxmlformats.org/officeDocument/2006/relationships/image" Target="media/image2.jpg"/><Relationship Id="rId30" Type="http://schemas.openxmlformats.org/officeDocument/2006/relationships/hyperlink" Target="https://www.youthforum.org/youthcapital" TargetMode="External"/><Relationship Id="rId11" Type="http://schemas.openxmlformats.org/officeDocument/2006/relationships/hyperlink" Target="https://www.coe.int/en/web/youth/advisory-council-on-youth" TargetMode="External"/><Relationship Id="rId10" Type="http://schemas.openxmlformats.org/officeDocument/2006/relationships/hyperlink" Target="https://zakon.rada.gov.ua/laws/show/1198-2018-%D0%BF" TargetMode="External"/><Relationship Id="rId13" Type="http://schemas.openxmlformats.org/officeDocument/2006/relationships/hyperlink" Target="https://zakon.rada.gov.ua/laws/show/2998-12" TargetMode="External"/><Relationship Id="rId12" Type="http://schemas.openxmlformats.org/officeDocument/2006/relationships/hyperlink" Target="https://zakon.rada.gov.ua/laws/show/532/2013" TargetMode="External"/><Relationship Id="rId15" Type="http://schemas.openxmlformats.org/officeDocument/2006/relationships/hyperlink" Target="https://zakon.rada.gov.ua/laws/show/281-14" TargetMode="External"/><Relationship Id="rId14" Type="http://schemas.openxmlformats.org/officeDocument/2006/relationships/hyperlink" Target="https://zakon.rada.gov.ua/laws/show/2558-14" TargetMode="External"/><Relationship Id="rId17" Type="http://schemas.openxmlformats.org/officeDocument/2006/relationships/hyperlink" Target="https://www.youthforum.org/" TargetMode="External"/><Relationship Id="rId16" Type="http://schemas.openxmlformats.org/officeDocument/2006/relationships/hyperlink" Target="https://www.youthforum.org/sites/default/files/publication-pdfs/YFJ_StudyOnTheSocialValueOfYouthOrganisations_1P1.pdf" TargetMode="External"/><Relationship Id="rId19" Type="http://schemas.openxmlformats.org/officeDocument/2006/relationships/hyperlink" Target="https://ec.europa.eu/programmes/erasmus-plus/about/how-is-it-managed_en" TargetMode="External"/><Relationship Id="rId18" Type="http://schemas.openxmlformats.org/officeDocument/2006/relationships/hyperlink" Target="https://drive.google.com/file/d/14VhzILtoOiESQrrnoWu2e8mTMaC3O38O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